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0" w:line="276"/>
      </w:pPr>
      <w:r>
        <w:rPr>
          <w:rFonts w:ascii="DM Sans" w:cs="DM Sans" w:eastAsia="DM Sans" w:hAnsi="DM Sans"/>
          <w:color w:val="1A202C"/>
          <w:sz w:val="22"/>
          <w:szCs w:val="22"/>
        </w:rPr>
        <w:t xml:space="preserve"/>
      </w:r>
    </w:p>
    <w:p>
      <w:pPr>
        <w:spacing w:after="2400" w:line="276"/>
      </w:pPr>
      <w:r>
        <w:rPr>
          <w:rFonts w:ascii="DM Sans" w:cs="DM Sans" w:eastAsia="DM Sans" w:hAnsi="DM Sans"/>
          <w:color w:val="1A202C"/>
          <w:sz w:val="22"/>
          <w:szCs w:val="22"/>
        </w:rPr>
        <w:t xml:space="preserve"/>
      </w:r>
    </w:p>
    <w:p>
      <w:pPr>
        <w:spacing w:after="60"/>
      </w:pPr>
      <w:r>
        <w:rPr>
          <w:rFonts w:ascii="DM Sans" w:cs="DM Sans" w:eastAsia="DM Sans" w:hAnsi="DM Sans"/>
          <w:b/>
          <w:bCs/>
          <w:color w:val="1A2744"/>
          <w:sz w:val="56"/>
          <w:szCs w:val="56"/>
        </w:rPr>
        <w:t xml:space="preserve">PRISME</w:t>
      </w:r>
    </w:p>
    <w:p>
      <w:pPr>
        <w:spacing w:after="200"/>
      </w:pPr>
      <w:r>
        <w:rPr>
          <w:rFonts w:ascii="DM Sans" w:cs="DM Sans" w:eastAsia="DM Sans" w:hAnsi="DM Sans"/>
          <w:color w:val="64748B"/>
          <w:sz w:val="32"/>
          <w:szCs w:val="32"/>
        </w:rPr>
        <w:t xml:space="preserve">Outil de pilotage pour ESN</w:t>
      </w:r>
    </w:p>
    <w:p>
      <w:pPr>
        <w:pBdr>
          <w:bottom w:val="single" w:color="E68A2E" w:sz="8" w:space="1"/>
        </w:pBdr>
        <w:spacing w:after="300"/>
      </w:pPr>
      <w:r>
        <w:rPr>
          <w:sz w:val="4"/>
          <w:szCs w:val="4"/>
        </w:rPr>
        <w:t xml:space="preserve"> </w:t>
      </w:r>
    </w:p>
    <w:p>
      <w:pPr>
        <w:spacing w:after="60"/>
      </w:pPr>
      <w:r>
        <w:rPr>
          <w:rFonts w:ascii="DM Sans" w:cs="DM Sans" w:eastAsia="DM Sans" w:hAnsi="DM Sans"/>
          <w:b/>
          <w:bCs/>
          <w:color w:val="1A2744"/>
          <w:sz w:val="36"/>
          <w:szCs w:val="36"/>
        </w:rPr>
        <w:t xml:space="preserve">Expression de besoin</w:t>
      </w:r>
    </w:p>
    <w:p>
      <w:pPr>
        <w:spacing w:after="600" w:line="276"/>
      </w:pPr>
      <w:r>
        <w:rPr>
          <w:rFonts w:ascii="DM Sans" w:cs="DM Sans" w:eastAsia="DM Sans" w:hAnsi="DM Sans"/>
          <w:color w:val="64748B"/>
          <w:sz w:val="24"/>
          <w:szCs w:val="24"/>
        </w:rPr>
        <w:t xml:space="preserve">Document de cadrage projet</w:t>
      </w:r>
    </w:p>
    <w:tbl>
      <w:tblPr>
        <w:tblW w:type="dxa" w:w="6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600"/>
      </w:tblGrid>
      <w:tr>
        <w:tc>
          <w:tcPr>
            <w:tcW w:type="dxa" w:w="2400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/>
                <w:bCs/>
                <w:color w:val="64748B"/>
                <w:sz w:val="20"/>
                <w:szCs w:val="20"/>
              </w:rPr>
              <w:t xml:space="preserve">Client</w:t>
            </w:r>
          </w:p>
        </w:tc>
        <w:tc>
          <w:tcPr>
            <w:tcW w:type="dxa" w:w="3600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color w:val="1A202C"/>
                <w:sz w:val="20"/>
                <w:szCs w:val="20"/>
              </w:rPr>
              <w:t xml:space="preserve">Vertigo — 65 collaborateurs</w:t>
            </w:r>
          </w:p>
        </w:tc>
      </w:tr>
      <w:tr>
        <w:tc>
          <w:tcPr>
            <w:tcW w:type="dxa" w:w="2400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/>
                <w:bCs/>
                <w:color w:val="64748B"/>
                <w:sz w:val="20"/>
                <w:szCs w:val="20"/>
              </w:rPr>
              <w:t xml:space="preserve">Commanditaire</w:t>
            </w:r>
          </w:p>
        </w:tc>
        <w:tc>
          <w:tcPr>
            <w:tcW w:type="dxa" w:w="3600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color w:val="1A202C"/>
                <w:sz w:val="20"/>
                <w:szCs w:val="20"/>
              </w:rPr>
              <w:t xml:space="preserve">Marc Chevalier, Directeur Général</w:t>
            </w:r>
          </w:p>
        </w:tc>
      </w:tr>
      <w:tr>
        <w:tc>
          <w:tcPr>
            <w:tcW w:type="dxa" w:w="2400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/>
                <w:bCs/>
                <w:color w:val="64748B"/>
                <w:sz w:val="20"/>
                <w:szCs w:val="20"/>
              </w:rPr>
              <w:t xml:space="preserve">Rédacteur</w:t>
            </w:r>
          </w:p>
        </w:tc>
        <w:tc>
          <w:tcPr>
            <w:tcW w:type="dxa" w:w="3600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color w:val="1A202C"/>
                <w:sz w:val="20"/>
                <w:szCs w:val="20"/>
              </w:rPr>
              <w:t xml:space="preserve">Le Cyclope Conseil</w:t>
            </w:r>
          </w:p>
        </w:tc>
      </w:tr>
      <w:tr>
        <w:tc>
          <w:tcPr>
            <w:tcW w:type="dxa" w:w="2400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/>
                <w:bCs/>
                <w:color w:val="64748B"/>
                <w:sz w:val="20"/>
                <w:szCs w:val="20"/>
              </w:rPr>
              <w:t xml:space="preserve">Version</w:t>
            </w:r>
          </w:p>
        </w:tc>
        <w:tc>
          <w:tcPr>
            <w:tcW w:type="dxa" w:w="3600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color w:val="1A202C"/>
                <w:sz w:val="20"/>
                <w:szCs w:val="20"/>
              </w:rPr>
              <w:t xml:space="preserve">1.0 — Mars 2026</w:t>
            </w:r>
          </w:p>
        </w:tc>
      </w:tr>
      <w:tr>
        <w:tc>
          <w:tcPr>
            <w:tcW w:type="dxa" w:w="2400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/>
                <w:bCs/>
                <w:color w:val="64748B"/>
                <w:sz w:val="20"/>
                <w:szCs w:val="20"/>
              </w:rPr>
              <w:t xml:space="preserve">Statut</w:t>
            </w:r>
          </w:p>
        </w:tc>
        <w:tc>
          <w:tcPr>
            <w:tcW w:type="dxa" w:w="3600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color w:val="1A202C"/>
                <w:sz w:val="20"/>
                <w:szCs w:val="20"/>
              </w:rPr>
              <w:t xml:space="preserve">Draft — à valider</w:t>
            </w:r>
          </w:p>
        </w:tc>
      </w:tr>
    </w:tbl>
    <w:p>
      <w:pPr>
        <w:sectPr>
          <w:pgSz w:w="11906" w:h="16838" w:orient="portrait"/>
          <w:pgMar w:top="1440" w:right="1080" w:bottom="1080" w:left="1080" w:header="708" w:footer="708" w:gutter="0"/>
          <w:pgNumType/>
          <w:docGrid w:linePitch="360"/>
        </w:sectPr>
      </w:pPr>
    </w:p>
    <w:p>
      <w:pPr>
        <w:pStyle w:val="Heading1"/>
      </w:pPr>
      <w:r>
        <w:t xml:space="preserve">1. Contexte</w:t>
      </w:r>
    </w:p>
    <w:p>
      <w:pPr>
        <w:spacing w:after="120" w:line="276"/>
      </w:pPr>
      <w:r>
        <w:rPr>
          <w:rFonts w:ascii="DM Sans" w:cs="DM Sans" w:eastAsia="DM Sans" w:hAnsi="DM Sans"/>
          <w:color w:val="1A202C"/>
          <w:sz w:val="22"/>
          <w:szCs w:val="22"/>
        </w:rPr>
        <w:t xml:space="preserve">Vertigo est une ESN de 65 collaborateurs organisée en 4 pôles (Développement, Design, Projet, Data). L’entreprise gère simultanément 8 à 12 projets actifs, un pipe commercial de 1,6M€ et un enjeu permanent de staffing.</w:t>
      </w:r>
    </w:p>
    <w:p>
      <w:pPr>
        <w:spacing w:after="120" w:line="276"/>
      </w:pPr>
      <w:r>
        <w:rPr>
          <w:rFonts w:ascii="DM Sans" w:cs="DM Sans" w:eastAsia="DM Sans" w:hAnsi="DM Sans"/>
          <w:color w:val="1A202C"/>
          <w:sz w:val="22"/>
          <w:szCs w:val="22"/>
        </w:rPr>
        <w:t xml:space="preserve">Aujourd’hui, le pilotage repose sur des fichiers Excel éclatés : un pour la rentabilité projets, un pour le planning de charge, un pour le pipe commercial. Chaque lundi matin, le DG passe 2 heures à croiser manuellement ces données pour prendre ses décisions de la semaine.</w:t>
      </w:r>
    </w:p>
    <w:p>
      <w:pPr>
        <w:pStyle w:val="Heading1"/>
      </w:pPr>
      <w:r>
        <w:t xml:space="preserve">2. Problématique</w:t>
      </w:r>
    </w:p>
    <w:p>
      <w:pPr>
        <w:spacing w:after="120" w:line="276"/>
      </w:pPr>
      <w:r>
        <w:rPr>
          <w:rFonts w:ascii="DM Sans" w:cs="DM Sans" w:eastAsia="DM Sans" w:hAnsi="DM Sans"/>
          <w:color w:val="1A202C"/>
          <w:sz w:val="22"/>
          <w:szCs w:val="22"/>
        </w:rPr>
        <w:t xml:space="preserve">Les données existent mais ne se parlent pas. Trois symptômes concrets :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DM Sans" w:cs="DM Sans" w:eastAsia="DM Sans" w:hAnsi="DM Sans"/>
          <w:b/>
          <w:bCs/>
          <w:sz w:val="22"/>
          <w:szCs w:val="22"/>
        </w:rPr>
        <w:t xml:space="preserve">Dérive projet invisible : </w:t>
      </w:r>
      <w:r>
        <w:rPr>
          <w:rFonts w:ascii="DM Sans" w:cs="DM Sans" w:eastAsia="DM Sans" w:hAnsi="DM Sans"/>
          <w:sz w:val="22"/>
          <w:szCs w:val="22"/>
        </w:rPr>
        <w:t xml:space="preserve">quand Atlas dérape (marge 8% vs 36% devisée), personne ne fait le lien avec le trou de charge d’août ni avec la stagnation d’Helios dans le pipe — alors que c’est le même problème vu sous trois angles.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DM Sans" w:cs="DM Sans" w:eastAsia="DM Sans" w:hAnsi="DM Sans"/>
          <w:b/>
          <w:bCs/>
          <w:sz w:val="22"/>
          <w:szCs w:val="22"/>
        </w:rPr>
        <w:t xml:space="preserve">Coût du bench : </w:t>
      </w:r>
      <w:r>
        <w:rPr>
          <w:rFonts w:ascii="DM Sans" w:cs="DM Sans" w:eastAsia="DM Sans" w:hAnsi="DM Sans"/>
          <w:sz w:val="22"/>
          <w:szCs w:val="22"/>
        </w:rPr>
        <w:t xml:space="preserve">3 collaborateurs en intercontrat coûtent 18 400€/mois, sans visibilité sur les opportunités de staffing dans le pipe.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DM Sans" w:cs="DM Sans" w:eastAsia="DM Sans" w:hAnsi="DM Sans"/>
          <w:b/>
          <w:bCs/>
          <w:sz w:val="22"/>
          <w:szCs w:val="22"/>
        </w:rPr>
        <w:t xml:space="preserve">Décisions tardives : </w:t>
      </w:r>
      <w:r>
        <w:rPr>
          <w:rFonts w:ascii="DM Sans" w:cs="DM Sans" w:eastAsia="DM Sans" w:hAnsi="DM Sans"/>
          <w:sz w:val="22"/>
          <w:szCs w:val="22"/>
        </w:rPr>
        <w:t xml:space="preserve">la marge s’érode sans que personne ne voie la tendance avant le bilan annuel. Les alertes arrivent quand il est trop tard.</w:t>
      </w:r>
    </w:p>
    <w:p>
      <w:pPr>
        <w:pStyle w:val="Heading1"/>
      </w:pPr>
      <w:r>
        <w:t xml:space="preserve">3. Besoin exprimé</w:t>
      </w:r>
    </w:p>
    <w:p>
      <w:pPr>
        <w:spacing w:after="120" w:line="276"/>
      </w:pPr>
      <w:r>
        <w:rPr>
          <w:rFonts w:ascii="DM Sans" w:cs="DM Sans" w:eastAsia="DM Sans" w:hAnsi="DM Sans"/>
          <w:color w:val="1A202C"/>
          <w:sz w:val="22"/>
          <w:szCs w:val="22"/>
        </w:rPr>
        <w:t xml:space="preserve">Un outil de pilotage unifié qui croise automatiquement les données projets, équipes et commerciales, avec une couche d’intelligence artificielle qui rend les connexions visibles et propose des actions.</w:t>
      </w:r>
    </w:p>
    <w:p>
      <w:pPr>
        <w:spacing w:after="120" w:line="276"/>
      </w:pPr>
      <w:r>
        <w:rPr>
          <w:rFonts w:ascii="DM Sans" w:cs="DM Sans" w:eastAsia="DM Sans" w:hAnsi="DM Sans"/>
          <w:b/>
          <w:bCs/>
          <w:sz w:val="22"/>
          <w:szCs w:val="22"/>
        </w:rPr>
        <w:t xml:space="preserve">Pas un dashboard de plus. </w:t>
      </w:r>
      <w:r>
        <w:rPr>
          <w:rFonts w:ascii="DM Sans" w:cs="DM Sans" w:eastAsia="DM Sans" w:hAnsi="DM Sans"/>
          <w:i/>
          <w:iCs/>
          <w:sz w:val="22"/>
          <w:szCs w:val="22"/>
        </w:rPr>
        <w:t xml:space="preserve">Un copilote de direction qui dit : « Helios stagne depuis 32 jours, sans ce deal tu as 4 devs au chômage en août, voici le numéro du DG à appeler cette semaine. »</w:t>
      </w:r>
    </w:p>
    <w:p>
      <w:pPr>
        <w:pStyle w:val="Heading1"/>
      </w:pPr>
      <w:r>
        <w:t xml:space="preserve">4. Périmètre fonctionnel</w:t>
      </w:r>
    </w:p>
    <w:p>
      <w:pPr>
        <w:spacing w:after="120" w:line="276"/>
      </w:pPr>
      <w:r>
        <w:rPr>
          <w:rFonts w:ascii="DM Sans" w:cs="DM Sans" w:eastAsia="DM Sans" w:hAnsi="DM Sans"/>
          <w:color w:val="1A202C"/>
          <w:sz w:val="22"/>
          <w:szCs w:val="22"/>
        </w:rPr>
        <w:t xml:space="preserve">L’outil s’organise en 4 blocs 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200"/>
        <w:gridCol w:w="4026"/>
      </w:tblGrid>
      <w:tr>
        <w:tc>
          <w:tcPr>
            <w:tcW w:type="dxa" w:w="1800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shd w:fill="1A274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/>
                <w:bCs/>
                <w:color w:val="FFFFFF"/>
                <w:sz w:val="20"/>
                <w:szCs w:val="20"/>
              </w:rPr>
              <w:t xml:space="preserve">Bloc</w:t>
            </w:r>
          </w:p>
        </w:tc>
        <w:tc>
          <w:tcPr>
            <w:tcW w:type="dxa" w:w="3200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shd w:fill="1A274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/>
                <w:bCs/>
                <w:color w:val="FFFFFF"/>
                <w:sz w:val="20"/>
                <w:szCs w:val="20"/>
              </w:rPr>
              <w:t xml:space="preserve">Écrans</w:t>
            </w:r>
          </w:p>
        </w:tc>
        <w:tc>
          <w:tcPr>
            <w:tcW w:type="dxa" w:w="4026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shd w:fill="1A274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/>
                <w:bCs/>
                <w:color w:val="FFFFFF"/>
                <w:sz w:val="20"/>
                <w:szCs w:val="20"/>
              </w:rPr>
              <w:t xml:space="preserve">Fonction clé</w:t>
            </w:r>
          </w:p>
        </w:tc>
      </w:tr>
      <w:tr>
        <w:tc>
          <w:tcPr>
            <w:tcW w:type="dxa" w:w="1800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/>
                <w:bCs/>
                <w:color w:val="1A202C"/>
                <w:sz w:val="20"/>
                <w:szCs w:val="20"/>
              </w:rPr>
              <w:t xml:space="preserve">Pilotage</w:t>
            </w:r>
          </w:p>
        </w:tc>
        <w:tc>
          <w:tcPr>
            <w:tcW w:type="dxa" w:w="3200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color w:val="1A202C"/>
                <w:sz w:val="20"/>
                <w:szCs w:val="20"/>
              </w:rPr>
              <w:t xml:space="preserve">Dashboard, Rentabilité projets, Détail projet, Prévisionnel CA</w:t>
            </w:r>
          </w:p>
        </w:tc>
        <w:tc>
          <w:tcPr>
            <w:tcW w:type="dxa" w:w="4026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color w:val="1A202C"/>
                <w:sz w:val="20"/>
                <w:szCs w:val="20"/>
              </w:rPr>
              <w:t xml:space="preserve">Vision consolidée. Détection dérives de marge temps réel.</w:t>
            </w:r>
          </w:p>
        </w:tc>
      </w:tr>
      <w:tr>
        <w:tc>
          <w:tcPr>
            <w:tcW w:type="dxa" w:w="1800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/>
                <w:bCs/>
                <w:color w:val="1A202C"/>
                <w:sz w:val="20"/>
                <w:szCs w:val="20"/>
              </w:rPr>
              <w:t xml:space="preserve">Équipes</w:t>
            </w:r>
          </w:p>
        </w:tc>
        <w:tc>
          <w:tcPr>
            <w:tcW w:type="dxa" w:w="3200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color w:val="1A202C"/>
                <w:sz w:val="20"/>
                <w:szCs w:val="20"/>
              </w:rPr>
              <w:t xml:space="preserve">Planning de charge, Intercontrats, Fiche collaborateur, Saisie des temps</w:t>
            </w:r>
          </w:p>
        </w:tc>
        <w:tc>
          <w:tcPr>
            <w:tcW w:type="dxa" w:w="4026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color w:val="1A202C"/>
                <w:sz w:val="20"/>
                <w:szCs w:val="20"/>
              </w:rPr>
              <w:t xml:space="preserve">Charge à 10 semaines. Surcharges et sous-charges.</w:t>
            </w:r>
          </w:p>
        </w:tc>
      </w:tr>
      <w:tr>
        <w:tc>
          <w:tcPr>
            <w:tcW w:type="dxa" w:w="1800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/>
                <w:bCs/>
                <w:color w:val="1A202C"/>
                <w:sz w:val="20"/>
                <w:szCs w:val="20"/>
              </w:rPr>
              <w:t xml:space="preserve">Commercial</w:t>
            </w:r>
          </w:p>
        </w:tc>
        <w:tc>
          <w:tcPr>
            <w:tcW w:type="dxa" w:w="3200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color w:val="1A202C"/>
                <w:sz w:val="20"/>
                <w:szCs w:val="20"/>
              </w:rPr>
              <w:t xml:space="preserve">Pipe Kanban, Détail opportunité</w:t>
            </w:r>
          </w:p>
        </w:tc>
        <w:tc>
          <w:tcPr>
            <w:tcW w:type="dxa" w:w="4026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color w:val="1A202C"/>
                <w:sz w:val="20"/>
                <w:szCs w:val="20"/>
              </w:rPr>
              <w:t xml:space="preserve">Pipe avec probabilités. Lien opportunités / staffing.</w:t>
            </w:r>
          </w:p>
        </w:tc>
      </w:tr>
      <w:tr>
        <w:tc>
          <w:tcPr>
            <w:tcW w:type="dxa" w:w="1800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/>
                <w:bCs/>
                <w:color w:val="1A202C"/>
                <w:sz w:val="20"/>
                <w:szCs w:val="20"/>
              </w:rPr>
              <w:t xml:space="preserve">IA &amp; Décision</w:t>
            </w:r>
          </w:p>
        </w:tc>
        <w:tc>
          <w:tcPr>
            <w:tcW w:type="dxa" w:w="3200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color w:val="1A202C"/>
                <w:sz w:val="20"/>
                <w:szCs w:val="20"/>
              </w:rPr>
              <w:t xml:space="preserve">Alertes, Recommandations, Simulateur, Tendances</w:t>
            </w:r>
          </w:p>
        </w:tc>
        <w:tc>
          <w:tcPr>
            <w:tcW w:type="dxa" w:w="4026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color w:val="1A202C"/>
                <w:sz w:val="20"/>
                <w:szCs w:val="20"/>
              </w:rPr>
              <w:t xml:space="preserve">Croisement auto. Alertes proactives. Simulation d’impact.</w:t>
            </w:r>
          </w:p>
        </w:tc>
      </w:tr>
    </w:tbl>
    <w:p>
      <w:pPr>
        <w:spacing w:after="60" w:line="276"/>
      </w:pPr>
      <w:r>
        <w:rPr>
          <w:rFonts w:ascii="DM Sans" w:cs="DM Sans" w:eastAsia="DM Sans" w:hAnsi="DM Sans"/>
          <w:color w:val="1A202C"/>
          <w:sz w:val="22"/>
          <w:szCs w:val="22"/>
        </w:rPr>
        <w:t xml:space="preserve"/>
      </w:r>
    </w:p>
    <w:p>
      <w:pPr>
        <w:pStyle w:val="Heading1"/>
      </w:pPr>
      <w:r>
        <w:t xml:space="preserve">5. Différenciateur : IA transparente</w:t>
      </w:r>
    </w:p>
    <w:p>
      <w:pPr>
        <w:spacing w:after="120" w:line="276"/>
      </w:pPr>
      <w:r>
        <w:rPr>
          <w:rFonts w:ascii="DM Sans" w:cs="DM Sans" w:eastAsia="DM Sans" w:hAnsi="DM Sans"/>
          <w:color w:val="1A202C"/>
          <w:sz w:val="22"/>
          <w:szCs w:val="22"/>
        </w:rPr>
        <w:t xml:space="preserve">Le bloc IA ne fonctionne pas comme une boîte noire. Chaque alerte affiche :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DM Sans" w:cs="DM Sans" w:eastAsia="DM Sans" w:hAnsi="DM Sans"/>
          <w:b/>
          <w:bCs/>
          <w:sz w:val="22"/>
          <w:szCs w:val="22"/>
        </w:rPr>
        <w:t xml:space="preserve">Les sources de données croisées </w:t>
      </w:r>
      <w:r>
        <w:rPr>
          <w:rFonts w:ascii="DM Sans" w:cs="DM Sans" w:eastAsia="DM Sans" w:hAnsi="DM Sans"/>
          <w:sz w:val="22"/>
          <w:szCs w:val="22"/>
        </w:rPr>
        <w:t xml:space="preserve">(ex: budget consommé + avancement + rythme de burn)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DM Sans" w:cs="DM Sans" w:eastAsia="DM Sans" w:hAnsi="DM Sans"/>
          <w:b/>
          <w:bCs/>
          <w:sz w:val="22"/>
          <w:szCs w:val="22"/>
        </w:rPr>
        <w:t xml:space="preserve">Le niveau de confiance </w:t>
      </w:r>
      <w:r>
        <w:rPr>
          <w:rFonts w:ascii="DM Sans" w:cs="DM Sans" w:eastAsia="DM Sans" w:hAnsi="DM Sans"/>
          <w:sz w:val="22"/>
          <w:szCs w:val="22"/>
        </w:rPr>
        <w:t xml:space="preserve">de la recommandation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DM Sans" w:cs="DM Sans" w:eastAsia="DM Sans" w:hAnsi="DM Sans"/>
          <w:b/>
          <w:bCs/>
          <w:sz w:val="22"/>
          <w:szCs w:val="22"/>
        </w:rPr>
        <w:t xml:space="preserve">L’action concrète proposée </w:t>
      </w:r>
      <w:r>
        <w:rPr>
          <w:rFonts w:ascii="DM Sans" w:cs="DM Sans" w:eastAsia="DM Sans" w:hAnsi="DM Sans"/>
          <w:sz w:val="22"/>
          <w:szCs w:val="22"/>
        </w:rPr>
        <w:t xml:space="preserve">avec lien vers l’écran concerné</w:t>
      </w:r>
    </w:p>
    <w:p>
      <w:pPr>
        <w:spacing w:after="120" w:line="276"/>
      </w:pPr>
      <w:r>
        <w:rPr>
          <w:rFonts w:ascii="DM Sans" w:cs="DM Sans" w:eastAsia="DM Sans" w:hAnsi="DM Sans"/>
          <w:color w:val="1A202C"/>
          <w:sz w:val="22"/>
          <w:szCs w:val="22"/>
        </w:rPr>
        <w:t xml:space="preserve">L’objectif : le DG comprend pourquoi l’outil recommande une action, pas seulement laquelle.</w:t>
      </w:r>
    </w:p>
    <w:p>
      <w:pPr>
        <w:pStyle w:val="Heading1"/>
      </w:pPr>
      <w:r>
        <w:t xml:space="preserve">6. Critères de succès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shd w:fill="1A274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/>
                <w:bCs/>
                <w:color w:val="FFFFFF"/>
                <w:sz w:val="20"/>
                <w:szCs w:val="20"/>
              </w:rPr>
              <w:t xml:space="preserve">Critère</w:t>
            </w:r>
          </w:p>
        </w:tc>
        <w:tc>
          <w:tcPr>
            <w:tcW w:type="dxa" w:w="4513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shd w:fill="1A274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b/>
                <w:bCs/>
                <w:color w:val="FFFFFF"/>
                <w:sz w:val="20"/>
                <w:szCs w:val="20"/>
              </w:rPr>
              <w:t xml:space="preserve">Cible</w:t>
            </w:r>
          </w:p>
        </w:tc>
      </w:tr>
      <w:tr>
        <w:tc>
          <w:tcPr>
            <w:tcW w:type="dxa" w:w="4513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color w:val="1A202C"/>
                <w:sz w:val="20"/>
                <w:szCs w:val="20"/>
              </w:rPr>
              <w:t xml:space="preserve">Temps de pilotage hebdomadaire</w:t>
            </w:r>
          </w:p>
        </w:tc>
        <w:tc>
          <w:tcPr>
            <w:tcW w:type="dxa" w:w="4513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color w:val="1A202C"/>
                <w:sz w:val="20"/>
                <w:szCs w:val="20"/>
              </w:rPr>
              <w:t xml:space="preserve">&lt; 30 min (vs 2h aujourd’hui)</w:t>
            </w:r>
          </w:p>
        </w:tc>
      </w:tr>
      <w:tr>
        <w:tc>
          <w:tcPr>
            <w:tcW w:type="dxa" w:w="4513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color w:val="1A202C"/>
                <w:sz w:val="20"/>
                <w:szCs w:val="20"/>
              </w:rPr>
              <w:t xml:space="preserve">Délai de détection d’une dérive</w:t>
            </w:r>
          </w:p>
        </w:tc>
        <w:tc>
          <w:tcPr>
            <w:tcW w:type="dxa" w:w="4513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color w:val="1A202C"/>
                <w:sz w:val="20"/>
                <w:szCs w:val="20"/>
              </w:rPr>
              <w:t xml:space="preserve">&lt; 1 semaine (vs bilan annuel)</w:t>
            </w:r>
          </w:p>
        </w:tc>
      </w:tr>
      <w:tr>
        <w:tc>
          <w:tcPr>
            <w:tcW w:type="dxa" w:w="4513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color w:val="1A202C"/>
                <w:sz w:val="20"/>
                <w:szCs w:val="20"/>
              </w:rPr>
              <w:t xml:space="preserve">Coût de bench mensuel</w:t>
            </w:r>
          </w:p>
        </w:tc>
        <w:tc>
          <w:tcPr>
            <w:tcW w:type="dxa" w:w="4513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color w:val="1A202C"/>
                <w:sz w:val="20"/>
                <w:szCs w:val="20"/>
              </w:rPr>
              <w:t xml:space="preserve">Réduction de 40% par staffing anticipé</w:t>
            </w:r>
          </w:p>
        </w:tc>
      </w:tr>
      <w:tr>
        <w:tc>
          <w:tcPr>
            <w:tcW w:type="dxa" w:w="4513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color w:val="1A202C"/>
                <w:sz w:val="20"/>
                <w:szCs w:val="20"/>
              </w:rPr>
              <w:t xml:space="preserve">Adoption équipe de direction</w:t>
            </w:r>
          </w:p>
        </w:tc>
        <w:tc>
          <w:tcPr>
            <w:tcW w:type="dxa" w:w="4513"/>
            <w:tcBorders>
              <w:top w:val="single" w:color="D5DBE5" w:sz="1"/>
              <w:left w:val="single" w:color="D5DBE5" w:sz="1"/>
              <w:bottom w:val="single" w:color="D5DBE5" w:sz="1"/>
              <w:right w:val="single" w:color="D5DBE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DM Sans" w:cs="DM Sans" w:eastAsia="DM Sans" w:hAnsi="DM Sans"/>
                <w:color w:val="1A202C"/>
                <w:sz w:val="20"/>
                <w:szCs w:val="20"/>
              </w:rPr>
              <w:t xml:space="preserve">Utilisé quotidiennement en 3 mois</w:t>
            </w:r>
          </w:p>
        </w:tc>
      </w:tr>
    </w:tbl>
    <w:p>
      <w:pPr>
        <w:spacing w:after="60" w:line="276"/>
      </w:pPr>
      <w:r>
        <w:rPr>
          <w:rFonts w:ascii="DM Sans" w:cs="DM Sans" w:eastAsia="DM Sans" w:hAnsi="DM Sans"/>
          <w:color w:val="1A202C"/>
          <w:sz w:val="22"/>
          <w:szCs w:val="22"/>
        </w:rPr>
        <w:t xml:space="preserve"/>
      </w:r>
    </w:p>
    <w:p>
      <w:pPr>
        <w:pStyle w:val="Heading1"/>
      </w:pPr>
      <w:r>
        <w:t xml:space="preserve">7. Hors périmètre (V1)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DM Sans" w:cs="DM Sans" w:eastAsia="DM Sans" w:hAnsi="DM Sans"/>
          <w:sz w:val="22"/>
          <w:szCs w:val="22"/>
        </w:rPr>
        <w:t xml:space="preserve">Facturation et comptabilité (interface possible en V2)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DM Sans" w:cs="DM Sans" w:eastAsia="DM Sans" w:hAnsi="DM Sans"/>
          <w:sz w:val="22"/>
          <w:szCs w:val="22"/>
        </w:rPr>
        <w:t xml:space="preserve">Gestion RH (congés, absences, entretiens)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DM Sans" w:cs="DM Sans" w:eastAsia="DM Sans" w:hAnsi="DM Sans"/>
          <w:sz w:val="22"/>
          <w:szCs w:val="22"/>
        </w:rPr>
        <w:t xml:space="preserve">CRM avancé (prospecter, emailer, scorer)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DM Sans" w:cs="DM Sans" w:eastAsia="DM Sans" w:hAnsi="DM Sans"/>
          <w:sz w:val="22"/>
          <w:szCs w:val="22"/>
        </w:rPr>
        <w:t xml:space="preserve">Application mobile</w:t>
      </w:r>
    </w:p>
    <w:p>
      <w:pPr>
        <w:pStyle w:val="Heading1"/>
      </w:pPr>
      <w:r>
        <w:t xml:space="preserve">8. Prochaines étapes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DM Sans" w:cs="DM Sans" w:eastAsia="DM Sans" w:hAnsi="DM Sans"/>
          <w:b/>
          <w:bCs/>
          <w:sz w:val="22"/>
          <w:szCs w:val="22"/>
        </w:rPr>
        <w:t xml:space="preserve">Validation de cette expression de besoin </w:t>
      </w:r>
      <w:r>
        <w:rPr>
          <w:rFonts w:ascii="DM Sans" w:cs="DM Sans" w:eastAsia="DM Sans" w:hAnsi="DM Sans"/>
          <w:sz w:val="22"/>
          <w:szCs w:val="22"/>
        </w:rPr>
        <w:t xml:space="preserve">par le commanditaire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DM Sans" w:cs="DM Sans" w:eastAsia="DM Sans" w:hAnsi="DM Sans"/>
          <w:b/>
          <w:bCs/>
          <w:sz w:val="22"/>
          <w:szCs w:val="22"/>
        </w:rPr>
        <w:t xml:space="preserve">Prototype interactif </w:t>
      </w:r>
      <w:r>
        <w:rPr>
          <w:rFonts w:ascii="DM Sans" w:cs="DM Sans" w:eastAsia="DM Sans" w:hAnsi="DM Sans"/>
          <w:sz w:val="22"/>
          <w:szCs w:val="22"/>
        </w:rPr>
        <w:t xml:space="preserve">— 14 écrans navigables pour valider l’ergonomie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DM Sans" w:cs="DM Sans" w:eastAsia="DM Sans" w:hAnsi="DM Sans"/>
          <w:b/>
          <w:bCs/>
          <w:sz w:val="22"/>
          <w:szCs w:val="22"/>
        </w:rPr>
        <w:t xml:space="preserve">Chiffrage technique </w:t>
      </w:r>
      <w:r>
        <w:rPr>
          <w:rFonts w:ascii="DM Sans" w:cs="DM Sans" w:eastAsia="DM Sans" w:hAnsi="DM Sans"/>
          <w:sz w:val="22"/>
          <w:szCs w:val="22"/>
        </w:rPr>
        <w:t xml:space="preserve">sur la base du prototype validé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DM Sans" w:cs="DM Sans" w:eastAsia="DM Sans" w:hAnsi="DM Sans"/>
          <w:b/>
          <w:bCs/>
          <w:sz w:val="22"/>
          <w:szCs w:val="22"/>
        </w:rPr>
        <w:t xml:space="preserve">Go/No-Go </w:t>
      </w:r>
      <w:r>
        <w:rPr>
          <w:rFonts w:ascii="DM Sans" w:cs="DM Sans" w:eastAsia="DM Sans" w:hAnsi="DM Sans"/>
          <w:sz w:val="22"/>
          <w:szCs w:val="22"/>
        </w:rPr>
        <w:t xml:space="preserve">et planification du développement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5DBE5" w:sz="1" w:space="4"/>
      </w:pBdr>
      <w:spacing w:after="0"/>
    </w:pPr>
    <w:r>
      <w:rPr>
        <w:rFonts w:ascii="DM Sans" w:cs="DM Sans" w:eastAsia="DM Sans" w:hAnsi="DM Sans"/>
        <w:color w:val="64748B"/>
        <w:sz w:val="16"/>
        <w:szCs w:val="16"/>
      </w:rPr>
      <w:t xml:space="preserve">Le Cyclope Conseil — lecyclope-conseil.fr</w:t>
    </w:r>
    <w:ptab w:alignment="right" w:relativeTo="margin" w:leader="none"/>
    <w:r>
      <w:rPr>
        <w:rFonts w:ascii="DM Sans" w:cs="DM Sans" w:eastAsia="DM Sans" w:hAnsi="DM Sans"/>
        <w:color w:val="64748B"/>
        <w:sz w:val="16"/>
        <w:szCs w:val="16"/>
      </w:rPr>
      <w:t xml:space="preserve">Page </w:t>
    </w:r>
    <w:r>
      <w:rPr>
        <w:rFonts w:ascii="DM Sans" w:cs="DM Sans" w:eastAsia="DM Sans" w:hAnsi="DM Sans"/>
        <w:color w:val="64748B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5DBE5" w:sz="1" w:space="4"/>
      </w:pBdr>
      <w:spacing w:after="0"/>
    </w:pPr>
    <w:r>
      <w:rPr>
        <w:rFonts w:ascii="DM Sans" w:cs="DM Sans" w:eastAsia="DM Sans" w:hAnsi="DM Sans"/>
        <w:i/>
        <w:iCs/>
        <w:color w:val="64748B"/>
        <w:sz w:val="16"/>
        <w:szCs w:val="16"/>
      </w:rPr>
      <w:t xml:space="preserve">Prisme — Expression de besoin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M Sans" w:cs="DM Sans" w:eastAsia="DM Sans" w:hAnsi="DM Sans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DM Sans" w:cs="DM Sans" w:eastAsia="DM Sans" w:hAnsi="DM Sans"/>
      <w:b/>
      <w:bCs/>
      <w:color w:val="1A2744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2026-03-03T13:42:18.764Z</dcterms:created>
  <dcterms:modified xsi:type="dcterms:W3CDTF">2026-03-03T13:42:18.765Z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